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B0358" w14:textId="1F918900" w:rsidR="003A5A0B" w:rsidRPr="00E41741" w:rsidRDefault="003A5A0B" w:rsidP="003A5A0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41741">
        <w:rPr>
          <w:rFonts w:ascii="Arial" w:eastAsia="Times New Roman" w:hAnsi="Arial" w:cs="Arial"/>
          <w:sz w:val="20"/>
          <w:szCs w:val="20"/>
          <w:lang w:eastAsia="pl-PL"/>
        </w:rPr>
        <w:t>Jak wyglądał proces w przypadku przekopu Mierzei Wiślanej?</w:t>
      </w:r>
    </w:p>
    <w:p w14:paraId="7E7849A1" w14:textId="2614F8EC" w:rsidR="00141D24" w:rsidRPr="00E41741" w:rsidRDefault="00141D24" w:rsidP="00141D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41741">
        <w:rPr>
          <w:rFonts w:ascii="Arial" w:eastAsia="Times New Roman" w:hAnsi="Arial" w:cs="Arial"/>
          <w:sz w:val="20"/>
          <w:szCs w:val="20"/>
          <w:lang w:eastAsia="pl-PL"/>
        </w:rPr>
        <w:t>Mój udział w pracach zespołu miał miejsce w</w:t>
      </w:r>
      <w:r w:rsidR="008C2E13" w:rsidRPr="00E41741">
        <w:rPr>
          <w:rFonts w:ascii="Arial" w:eastAsia="Times New Roman" w:hAnsi="Arial" w:cs="Arial"/>
          <w:sz w:val="20"/>
          <w:szCs w:val="20"/>
          <w:lang w:eastAsia="pl-PL"/>
        </w:rPr>
        <w:t xml:space="preserve"> roku 2017. Specustawa </w:t>
      </w:r>
      <w:proofErr w:type="spellStart"/>
      <w:r w:rsidR="008C2E13" w:rsidRPr="00E41741">
        <w:rPr>
          <w:rFonts w:ascii="Arial" w:eastAsia="Times New Roman" w:hAnsi="Arial" w:cs="Arial"/>
          <w:sz w:val="20"/>
          <w:szCs w:val="20"/>
          <w:lang w:eastAsia="pl-PL"/>
        </w:rPr>
        <w:t>przekopowa</w:t>
      </w:r>
      <w:proofErr w:type="spellEnd"/>
      <w:r w:rsidR="008C2E13" w:rsidRPr="00E41741">
        <w:rPr>
          <w:rFonts w:ascii="Arial" w:eastAsia="Times New Roman" w:hAnsi="Arial" w:cs="Arial"/>
          <w:sz w:val="20"/>
          <w:szCs w:val="20"/>
          <w:lang w:eastAsia="pl-PL"/>
        </w:rPr>
        <w:t xml:space="preserve"> weszła w życie 6 maja 2017 r. i w tym czasie nie obowiązywały żadne decyzje dotyczące powyższej inwestycji. Myślę, że późniejsze ustalenia w tym względzie zna prof. Jacek Zaucha.</w:t>
      </w:r>
    </w:p>
    <w:p w14:paraId="1E1F9343" w14:textId="77777777" w:rsidR="008C2E13" w:rsidRPr="00E41741" w:rsidRDefault="003A5A0B" w:rsidP="00396FDA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41741">
        <w:rPr>
          <w:rFonts w:ascii="Arial" w:eastAsia="Times New Roman" w:hAnsi="Arial" w:cs="Arial"/>
          <w:sz w:val="20"/>
          <w:szCs w:val="20"/>
          <w:lang w:eastAsia="pl-PL"/>
        </w:rPr>
        <w:t>Jak ma się zrównoważony rozwój  do prawa jakie wprowadzają tak zwane "spec ustawy", które czase</w:t>
      </w:r>
      <w:bookmarkStart w:id="0" w:name="_GoBack"/>
      <w:bookmarkEnd w:id="0"/>
      <w:r w:rsidRPr="00E41741">
        <w:rPr>
          <w:rFonts w:ascii="Arial" w:eastAsia="Times New Roman" w:hAnsi="Arial" w:cs="Arial"/>
          <w:sz w:val="20"/>
          <w:szCs w:val="20"/>
          <w:lang w:eastAsia="pl-PL"/>
        </w:rPr>
        <w:t>m burzą ład przestrzenny, umożliwiają wyjątki.  Czy tak zwane "specustawy" nie będą w przyszłości zagrożeniem dla ustaleń planu zagospodarowania obszarów morskich wypracowanego w długim procesie.</w:t>
      </w:r>
    </w:p>
    <w:p w14:paraId="619D462E" w14:textId="77777777" w:rsidR="00E41741" w:rsidRPr="00E41741" w:rsidRDefault="00E41741" w:rsidP="008C2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2C6265" w14:textId="77777777" w:rsidR="008C2E13" w:rsidRPr="00E41741" w:rsidRDefault="008C2E13" w:rsidP="008C2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41741">
        <w:rPr>
          <w:rFonts w:ascii="Arial" w:eastAsia="Times New Roman" w:hAnsi="Arial" w:cs="Arial"/>
          <w:sz w:val="20"/>
          <w:szCs w:val="20"/>
          <w:lang w:eastAsia="pl-PL"/>
        </w:rPr>
        <w:t>Po pierwsze, specustawy nie mogą „uchylać” tych części obowiązującego porządku prawnego, które swoje źródła mają w Konstytucji prawie międzynarodowym lub unijnym. Zatem (przynajmniej formalnie) ich regulacje muszą być pozostawać w zgodzie z zasadą zrównoważonego rozwoju.</w:t>
      </w:r>
    </w:p>
    <w:p w14:paraId="3E2E36D3" w14:textId="53BC4271" w:rsidR="008C2E13" w:rsidRPr="00E41741" w:rsidRDefault="008C2E13" w:rsidP="008C2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41741">
        <w:rPr>
          <w:rFonts w:ascii="Arial" w:eastAsia="Times New Roman" w:hAnsi="Arial" w:cs="Arial"/>
          <w:sz w:val="20"/>
          <w:szCs w:val="20"/>
          <w:lang w:eastAsia="pl-PL"/>
        </w:rPr>
        <w:t xml:space="preserve">Po drugie, czy specustawy mogą być </w:t>
      </w:r>
      <w:r w:rsidRPr="00E41741">
        <w:rPr>
          <w:rFonts w:ascii="Arial" w:eastAsia="Times New Roman" w:hAnsi="Arial" w:cs="Arial"/>
          <w:sz w:val="20"/>
          <w:szCs w:val="20"/>
          <w:lang w:eastAsia="pl-PL"/>
        </w:rPr>
        <w:t>zagrożeniem dla ustaleń planu zagospodarowania obszarów morskich</w:t>
      </w:r>
      <w:r w:rsidRPr="00E41741">
        <w:rPr>
          <w:rFonts w:ascii="Arial" w:eastAsia="Times New Roman" w:hAnsi="Arial" w:cs="Arial"/>
          <w:sz w:val="20"/>
          <w:szCs w:val="20"/>
          <w:lang w:eastAsia="pl-PL"/>
        </w:rPr>
        <w:t xml:space="preserve">? Uważam że relacje plan – decyzje wydawane na </w:t>
      </w:r>
      <w:r w:rsidR="00A970CD" w:rsidRPr="00E41741">
        <w:rPr>
          <w:rFonts w:ascii="Arial" w:eastAsia="Times New Roman" w:hAnsi="Arial" w:cs="Arial"/>
          <w:sz w:val="20"/>
          <w:szCs w:val="20"/>
          <w:lang w:eastAsia="pl-PL"/>
        </w:rPr>
        <w:t>podstawie specustaw, będą rodzi</w:t>
      </w:r>
      <w:r w:rsidRPr="00E41741">
        <w:rPr>
          <w:rFonts w:ascii="Arial" w:eastAsia="Times New Roman" w:hAnsi="Arial" w:cs="Arial"/>
          <w:sz w:val="20"/>
          <w:szCs w:val="20"/>
          <w:lang w:eastAsia="pl-PL"/>
        </w:rPr>
        <w:t>ły takie same konsekwencje</w:t>
      </w:r>
      <w:r w:rsidR="00A970CD" w:rsidRPr="00E41741">
        <w:rPr>
          <w:rFonts w:ascii="Arial" w:eastAsia="Times New Roman" w:hAnsi="Arial" w:cs="Arial"/>
          <w:sz w:val="20"/>
          <w:szCs w:val="20"/>
          <w:lang w:eastAsia="pl-PL"/>
        </w:rPr>
        <w:t xml:space="preserve">, jakie wywołują na lądzie. Zatem nie wykluczam, że szczególna regulacja może doprowadzić do </w:t>
      </w:r>
      <w:proofErr w:type="spellStart"/>
      <w:r w:rsidR="00A970CD" w:rsidRPr="00E41741">
        <w:rPr>
          <w:rFonts w:ascii="Arial" w:eastAsia="Times New Roman" w:hAnsi="Arial" w:cs="Arial"/>
          <w:sz w:val="20"/>
          <w:szCs w:val="20"/>
          <w:lang w:eastAsia="pl-PL"/>
        </w:rPr>
        <w:t>dekonsolidacji</w:t>
      </w:r>
      <w:proofErr w:type="spellEnd"/>
      <w:r w:rsidR="00A970CD" w:rsidRPr="00E41741">
        <w:rPr>
          <w:rFonts w:ascii="Arial" w:eastAsia="Times New Roman" w:hAnsi="Arial" w:cs="Arial"/>
          <w:sz w:val="20"/>
          <w:szCs w:val="20"/>
          <w:lang w:eastAsia="pl-PL"/>
        </w:rPr>
        <w:t xml:space="preserve"> przyjętego planu (ale nie musi – wszystko zależy od przedmiotu i uregulowania takiej specustawy.)</w:t>
      </w:r>
    </w:p>
    <w:p w14:paraId="784DBD7E" w14:textId="77777777" w:rsidR="00A970CD" w:rsidRPr="00E41741" w:rsidRDefault="00A970CD" w:rsidP="008C2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3C2EAA" w14:textId="3C613959" w:rsidR="00CF31CE" w:rsidRPr="00E41741" w:rsidRDefault="00CF31CE" w:rsidP="00396FDA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41741">
        <w:rPr>
          <w:rFonts w:ascii="Arial" w:eastAsia="Times New Roman" w:hAnsi="Arial" w:cs="Arial"/>
          <w:sz w:val="20"/>
          <w:szCs w:val="20"/>
          <w:lang w:eastAsia="pl-PL"/>
        </w:rPr>
        <w:t>Czy istnieje lub przewiduje się jakiś mechanizm prawny powiązania wydania decyzji o środowiskowych uwarunkowaniach dla przyszłych inwestycji na obszarach morskich ze zgodnością z planem zagospodarowania dla takiego obszaru  (jak to jest zasadniczo przy inwestycjach "na lądzie")?</w:t>
      </w:r>
    </w:p>
    <w:p w14:paraId="3B2DA3F6" w14:textId="77777777" w:rsidR="00A970CD" w:rsidRPr="00E41741" w:rsidRDefault="00A970CD" w:rsidP="00A970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6B7FCF" w14:textId="4091BB84" w:rsidR="00A970CD" w:rsidRPr="00E41741" w:rsidRDefault="00A970CD" w:rsidP="00A970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41741">
        <w:rPr>
          <w:rFonts w:ascii="Arial" w:eastAsia="Times New Roman" w:hAnsi="Arial" w:cs="Arial"/>
          <w:sz w:val="20"/>
          <w:szCs w:val="20"/>
          <w:lang w:eastAsia="pl-PL"/>
        </w:rPr>
        <w:t xml:space="preserve">Taki mechanizm środowiskowych uwarunkowań jest „wymuszany” przez unijne regulacje. Dlatego relacja plan – środowiskowe uwarunkowania – decyzji </w:t>
      </w:r>
      <w:r w:rsidR="00E41741" w:rsidRPr="00E41741">
        <w:rPr>
          <w:rFonts w:ascii="Arial" w:eastAsia="Times New Roman" w:hAnsi="Arial" w:cs="Arial"/>
          <w:sz w:val="20"/>
          <w:szCs w:val="20"/>
          <w:lang w:eastAsia="pl-PL"/>
        </w:rPr>
        <w:t>realizacyjne, powinna</w:t>
      </w:r>
      <w:r w:rsidRPr="00E41741">
        <w:rPr>
          <w:rFonts w:ascii="Arial" w:eastAsia="Times New Roman" w:hAnsi="Arial" w:cs="Arial"/>
          <w:sz w:val="20"/>
          <w:szCs w:val="20"/>
          <w:lang w:eastAsia="pl-PL"/>
        </w:rPr>
        <w:t xml:space="preserve"> być </w:t>
      </w:r>
      <w:r w:rsidR="00E41741" w:rsidRPr="00E41741">
        <w:rPr>
          <w:rFonts w:ascii="Arial" w:eastAsia="Times New Roman" w:hAnsi="Arial" w:cs="Arial"/>
          <w:sz w:val="20"/>
          <w:szCs w:val="20"/>
          <w:lang w:eastAsia="pl-PL"/>
        </w:rPr>
        <w:t>analogiczna</w:t>
      </w:r>
      <w:r w:rsidRPr="00E4174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41741" w:rsidRPr="00E41741">
        <w:rPr>
          <w:rFonts w:ascii="Arial" w:eastAsia="Times New Roman" w:hAnsi="Arial" w:cs="Arial"/>
          <w:sz w:val="20"/>
          <w:szCs w:val="20"/>
          <w:lang w:eastAsia="pl-PL"/>
        </w:rPr>
        <w:t>do przypadków</w:t>
      </w:r>
      <w:r w:rsidRPr="00E41741">
        <w:rPr>
          <w:rFonts w:ascii="Arial" w:eastAsia="Times New Roman" w:hAnsi="Arial" w:cs="Arial"/>
          <w:sz w:val="20"/>
          <w:szCs w:val="20"/>
          <w:lang w:eastAsia="pl-PL"/>
        </w:rPr>
        <w:t xml:space="preserve"> „lądowych”</w:t>
      </w:r>
    </w:p>
    <w:p w14:paraId="6AEBDB97" w14:textId="77777777" w:rsidR="00A970CD" w:rsidRPr="00E41741" w:rsidRDefault="00A970CD" w:rsidP="00A970CD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C90717" w14:textId="70731088" w:rsidR="00CF31CE" w:rsidRPr="00E41741" w:rsidRDefault="00CF31CE" w:rsidP="00CF31CE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41741">
        <w:rPr>
          <w:rFonts w:ascii="Arial" w:eastAsia="Times New Roman" w:hAnsi="Arial" w:cs="Arial"/>
          <w:sz w:val="20"/>
          <w:szCs w:val="20"/>
          <w:lang w:eastAsia="pl-PL"/>
        </w:rPr>
        <w:t>Czy RM może przyjąć plany szczegółowe dla portów zanim zostanie przyjęty projekt dla POM? Co w przypadku, gdy projekt POM zostanie zmieniony w sposób zaburzający spójność planu szczegółowego z planem ogólnym?</w:t>
      </w:r>
    </w:p>
    <w:p w14:paraId="7554136F" w14:textId="32462C2B" w:rsidR="00A970CD" w:rsidRPr="00E41741" w:rsidRDefault="00A970CD" w:rsidP="00A970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41741">
        <w:rPr>
          <w:rFonts w:ascii="Arial" w:eastAsia="Times New Roman" w:hAnsi="Arial" w:cs="Arial"/>
          <w:sz w:val="20"/>
          <w:szCs w:val="20"/>
          <w:lang w:eastAsia="pl-PL"/>
        </w:rPr>
        <w:t>Teoretycznie tak. W ustawie nie ma nakazu przyjęcia wszystkich planów jednym rozporządzeniem.</w:t>
      </w:r>
    </w:p>
    <w:p w14:paraId="2543BA13" w14:textId="4B23E66F" w:rsidR="00A970CD" w:rsidRPr="00E41741" w:rsidRDefault="00E41741" w:rsidP="00A970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41741">
        <w:rPr>
          <w:rFonts w:ascii="Arial" w:eastAsia="Times New Roman" w:hAnsi="Arial" w:cs="Arial"/>
          <w:sz w:val="20"/>
          <w:szCs w:val="20"/>
          <w:lang w:eastAsia="pl-PL"/>
        </w:rPr>
        <w:t>Nie można wykluczyć trudności z konsolidacją</w:t>
      </w:r>
      <w:r w:rsidR="00A970CD" w:rsidRPr="00E41741">
        <w:rPr>
          <w:rFonts w:ascii="Arial" w:eastAsia="Times New Roman" w:hAnsi="Arial" w:cs="Arial"/>
          <w:sz w:val="20"/>
          <w:szCs w:val="20"/>
          <w:lang w:eastAsia="pl-PL"/>
        </w:rPr>
        <w:t xml:space="preserve"> kilku planów. Ale to jest problem analogiczny do uchwalania ustaw, czy wydawania rozporządzeń, które nie mogą być sprzeczne ze sobą, a jeżeli do takich sprzeczności dochodzi, problem należy rozwiązać za pomocą reguł kolizyjnych bądź korekt ustawowych (tu: zmian ustaleń w jednym lub drugim planie)</w:t>
      </w:r>
    </w:p>
    <w:p w14:paraId="60060A65" w14:textId="77777777" w:rsidR="00A970CD" w:rsidRPr="00E41741" w:rsidRDefault="00A970CD" w:rsidP="00A970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78B963" w14:textId="77777777" w:rsidR="00442C8D" w:rsidRPr="00E41741" w:rsidRDefault="00442C8D" w:rsidP="00442C8D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41741">
        <w:rPr>
          <w:rFonts w:ascii="Arial" w:eastAsia="Times New Roman" w:hAnsi="Arial" w:cs="Arial"/>
          <w:sz w:val="20"/>
          <w:szCs w:val="20"/>
          <w:lang w:eastAsia="pl-PL"/>
        </w:rPr>
        <w:t>Czy okres 10 lat obowiązywania planu wynika z przepisów prawa (jeśli tak, to z jakich?)  Czy może okres 10 lat przyjęty został ze względu na długość trwania prac i konsultacji społecznych nad ustalaniem planu, więc zmienianie go co kilka lat byłoby kosztowne?</w:t>
      </w:r>
    </w:p>
    <w:p w14:paraId="7B911FFB" w14:textId="72689D04" w:rsidR="00EC595D" w:rsidRPr="00E41741" w:rsidRDefault="00EC595D" w:rsidP="00EC5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41741">
        <w:rPr>
          <w:rFonts w:ascii="Arial" w:eastAsia="Times New Roman" w:hAnsi="Arial" w:cs="Arial"/>
          <w:sz w:val="20"/>
          <w:szCs w:val="20"/>
          <w:lang w:eastAsia="pl-PL"/>
        </w:rPr>
        <w:t xml:space="preserve">Ustawa nie ogranicza „żywotności” planu do 10 lat. W art. 37i ust. 1 </w:t>
      </w:r>
      <w:proofErr w:type="spellStart"/>
      <w:r w:rsidRPr="00E41741">
        <w:rPr>
          <w:rFonts w:ascii="Arial" w:eastAsia="Times New Roman" w:hAnsi="Arial" w:cs="Arial"/>
          <w:sz w:val="20"/>
          <w:szCs w:val="20"/>
          <w:lang w:eastAsia="pl-PL"/>
        </w:rPr>
        <w:t>u.o.m</w:t>
      </w:r>
      <w:proofErr w:type="spellEnd"/>
      <w:r w:rsidRPr="00E41741">
        <w:rPr>
          <w:rFonts w:ascii="Arial" w:eastAsia="Times New Roman" w:hAnsi="Arial" w:cs="Arial"/>
          <w:sz w:val="20"/>
          <w:szCs w:val="20"/>
          <w:lang w:eastAsia="pl-PL"/>
        </w:rPr>
        <w:t>. mowa jest jedynie o tym, że: „</w:t>
      </w:r>
      <w:r w:rsidRPr="00E41741">
        <w:rPr>
          <w:rFonts w:ascii="Arial" w:hAnsi="Arial" w:cs="Arial"/>
          <w:sz w:val="20"/>
          <w:szCs w:val="20"/>
          <w:shd w:val="clear" w:color="auto" w:fill="FFFFFF"/>
        </w:rPr>
        <w:t>Plan podlega okresowej ocenie, co najmniej raz na 10 lat.</w:t>
      </w:r>
      <w:r w:rsidRPr="00E41741">
        <w:rPr>
          <w:rFonts w:ascii="Arial" w:hAnsi="Arial" w:cs="Arial"/>
          <w:sz w:val="20"/>
          <w:szCs w:val="20"/>
          <w:shd w:val="clear" w:color="auto" w:fill="FFFFFF"/>
        </w:rPr>
        <w:t>”</w:t>
      </w:r>
    </w:p>
    <w:p w14:paraId="50F9EE04" w14:textId="77777777" w:rsidR="00EC595D" w:rsidRPr="00E41741" w:rsidRDefault="00EC595D" w:rsidP="00EC5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47FB89" w14:textId="0D930BFA" w:rsidR="00442C8D" w:rsidRPr="00E41741" w:rsidRDefault="00442C8D" w:rsidP="00442C8D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41741">
        <w:rPr>
          <w:rFonts w:ascii="Arial" w:eastAsia="Times New Roman" w:hAnsi="Arial" w:cs="Arial"/>
          <w:sz w:val="20"/>
          <w:szCs w:val="20"/>
          <w:lang w:eastAsia="pl-PL"/>
        </w:rPr>
        <w:t>Co w przypadku inwestycji, dla których obecnie toczy się procedura zmierzająca do wydania decyzji środowiskowej</w:t>
      </w:r>
      <w:r w:rsidR="00EC595D" w:rsidRPr="00E41741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E41741">
        <w:rPr>
          <w:rFonts w:ascii="Arial" w:eastAsia="Times New Roman" w:hAnsi="Arial" w:cs="Arial"/>
          <w:sz w:val="20"/>
          <w:szCs w:val="20"/>
          <w:lang w:eastAsia="pl-PL"/>
        </w:rPr>
        <w:t xml:space="preserve"> a nie są zgodne z ustaleniami projektu POM? Czy będą mogły uzyskać pozytywną ww. decyzję, po zatwierdzeniu prze</w:t>
      </w:r>
      <w:r w:rsidR="00EC595D" w:rsidRPr="00E41741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E41741">
        <w:rPr>
          <w:rFonts w:ascii="Arial" w:eastAsia="Times New Roman" w:hAnsi="Arial" w:cs="Arial"/>
          <w:sz w:val="20"/>
          <w:szCs w:val="20"/>
          <w:lang w:eastAsia="pl-PL"/>
        </w:rPr>
        <w:t xml:space="preserve"> RM POM? </w:t>
      </w:r>
    </w:p>
    <w:p w14:paraId="244C5610" w14:textId="77777777" w:rsidR="00EC595D" w:rsidRPr="00E41741" w:rsidRDefault="00EC595D" w:rsidP="00EC5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D507A5" w14:textId="6A8DF661" w:rsidR="00EC595D" w:rsidRPr="00E41741" w:rsidRDefault="00EC595D" w:rsidP="00EC5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41741">
        <w:rPr>
          <w:rFonts w:ascii="Arial" w:eastAsia="Times New Roman" w:hAnsi="Arial" w:cs="Arial"/>
          <w:sz w:val="20"/>
          <w:szCs w:val="20"/>
          <w:lang w:eastAsia="pl-PL"/>
        </w:rPr>
        <w:t>Projekt nie jest planem. Zatem jeżeli toczą się obecnie stosowne postępowania, to muszą być prowadzone na podstawie obowiązującego</w:t>
      </w:r>
      <w:r w:rsidR="00E41741" w:rsidRPr="00E41741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E41741">
        <w:rPr>
          <w:rFonts w:ascii="Arial" w:eastAsia="Times New Roman" w:hAnsi="Arial" w:cs="Arial"/>
          <w:sz w:val="20"/>
          <w:szCs w:val="20"/>
          <w:lang w:eastAsia="pl-PL"/>
        </w:rPr>
        <w:t xml:space="preserve"> a nie przyszłego porządku prawnego. Stanem idealnym byłoby 1) zawieszenie prowadzonych procedur, 2) „szybkie przyjęcie planu”, 3) dostosowanie zamierzeń planistycznych do ustaleń przyjętego planu.</w:t>
      </w:r>
      <w:r w:rsidR="00E41741" w:rsidRPr="00E41741">
        <w:rPr>
          <w:rFonts w:ascii="Arial" w:eastAsia="Times New Roman" w:hAnsi="Arial" w:cs="Arial"/>
          <w:sz w:val="20"/>
          <w:szCs w:val="20"/>
          <w:lang w:eastAsia="pl-PL"/>
        </w:rPr>
        <w:t xml:space="preserve"> N</w:t>
      </w:r>
      <w:r w:rsidRPr="00E41741">
        <w:rPr>
          <w:rFonts w:ascii="Arial" w:eastAsia="Times New Roman" w:hAnsi="Arial" w:cs="Arial"/>
          <w:sz w:val="20"/>
          <w:szCs w:val="20"/>
          <w:lang w:eastAsia="pl-PL"/>
        </w:rPr>
        <w:t>ie wykluczam konieczności „modyfikacji” ustaleń projektu planu przed jego przyjęciem, w sytuacji, gdy</w:t>
      </w:r>
      <w:r w:rsidR="00E41741" w:rsidRPr="00E41741">
        <w:rPr>
          <w:rFonts w:ascii="Arial" w:eastAsia="Times New Roman" w:hAnsi="Arial" w:cs="Arial"/>
          <w:sz w:val="20"/>
          <w:szCs w:val="20"/>
          <w:lang w:eastAsia="pl-PL"/>
        </w:rPr>
        <w:t>by</w:t>
      </w:r>
      <w:r w:rsidRPr="00E41741">
        <w:rPr>
          <w:rFonts w:ascii="Arial" w:eastAsia="Times New Roman" w:hAnsi="Arial" w:cs="Arial"/>
          <w:sz w:val="20"/>
          <w:szCs w:val="20"/>
          <w:lang w:eastAsia="pl-PL"/>
        </w:rPr>
        <w:t xml:space="preserve"> w tr</w:t>
      </w:r>
      <w:r w:rsidR="00E41741" w:rsidRPr="00E41741">
        <w:rPr>
          <w:rFonts w:ascii="Arial" w:eastAsia="Times New Roman" w:hAnsi="Arial" w:cs="Arial"/>
          <w:sz w:val="20"/>
          <w:szCs w:val="20"/>
          <w:lang w:eastAsia="pl-PL"/>
        </w:rPr>
        <w:t>akcie prac nad planem pojawiły</w:t>
      </w:r>
      <w:r w:rsidR="00652349" w:rsidRPr="00E41741">
        <w:rPr>
          <w:rFonts w:ascii="Arial" w:eastAsia="Times New Roman" w:hAnsi="Arial" w:cs="Arial"/>
          <w:sz w:val="20"/>
          <w:szCs w:val="20"/>
          <w:lang w:eastAsia="pl-PL"/>
        </w:rPr>
        <w:t xml:space="preserve"> się nowe „ważne pozwolenia”.</w:t>
      </w:r>
    </w:p>
    <w:p w14:paraId="743A50DC" w14:textId="77777777" w:rsidR="00EC595D" w:rsidRPr="00E41741" w:rsidRDefault="00EC595D" w:rsidP="00EC5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DED643" w14:textId="410D35B7" w:rsidR="008B1F97" w:rsidRPr="00E41741" w:rsidRDefault="00071464" w:rsidP="008B1F97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41741">
        <w:rPr>
          <w:rFonts w:ascii="Arial" w:eastAsia="Times New Roman" w:hAnsi="Arial" w:cs="Arial"/>
          <w:sz w:val="20"/>
          <w:szCs w:val="20"/>
          <w:lang w:eastAsia="pl-PL"/>
        </w:rPr>
        <w:t>Który z organów jest odpowiedzialny za ustalenie zgodności realizacji ustaleń planu,  związanych z budową morskich farm wiatrowych (WSE) z celami środowiskowymi określonymi w  dyrektywie ramowej w sprawie strategii morskiej w ramach uzgadniania POM? Czy ten sam organ w przypadku planowanego zamierzenia dot. budowy farmy wiatrowej jest również organem współuczestniczącym w postępowaniu dot. decyzji środowiskowej?</w:t>
      </w:r>
    </w:p>
    <w:p w14:paraId="42AA6926" w14:textId="77777777" w:rsidR="00E41741" w:rsidRPr="00E41741" w:rsidRDefault="00E41741" w:rsidP="002E4F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31FFCD" w14:textId="2CE17DA1" w:rsidR="002E4FD2" w:rsidRPr="00E41741" w:rsidRDefault="002E4FD2" w:rsidP="002E4F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41741">
        <w:rPr>
          <w:rFonts w:ascii="Arial" w:eastAsia="Times New Roman" w:hAnsi="Arial" w:cs="Arial"/>
          <w:sz w:val="20"/>
          <w:szCs w:val="20"/>
          <w:lang w:eastAsia="pl-PL"/>
        </w:rPr>
        <w:t>Na to pytanie w chwili obecnej nie jestem w stanie o</w:t>
      </w:r>
      <w:r w:rsidR="00E41741" w:rsidRPr="00E41741">
        <w:rPr>
          <w:rFonts w:ascii="Arial" w:eastAsia="Times New Roman" w:hAnsi="Arial" w:cs="Arial"/>
          <w:sz w:val="20"/>
          <w:szCs w:val="20"/>
          <w:lang w:eastAsia="pl-PL"/>
        </w:rPr>
        <w:t>dpowiedzieć.</w:t>
      </w:r>
    </w:p>
    <w:p w14:paraId="58B569D8" w14:textId="77777777" w:rsidR="00E41741" w:rsidRPr="00E41741" w:rsidRDefault="00E41741" w:rsidP="002E4F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DD4983" w14:textId="704B7532" w:rsidR="006A09E2" w:rsidRPr="00E41741" w:rsidRDefault="006A09E2" w:rsidP="006A09E2">
      <w:pPr>
        <w:pStyle w:val="NormalnyWeb"/>
        <w:numPr>
          <w:ilvl w:val="0"/>
          <w:numId w:val="1"/>
        </w:numPr>
        <w:spacing w:after="195" w:afterAutospacing="0"/>
        <w:rPr>
          <w:rFonts w:ascii="Arial" w:hAnsi="Arial" w:cs="Arial"/>
          <w:sz w:val="20"/>
          <w:szCs w:val="20"/>
        </w:rPr>
      </w:pPr>
      <w:r w:rsidRPr="00E41741">
        <w:rPr>
          <w:rFonts w:ascii="Arial" w:hAnsi="Arial" w:cs="Arial"/>
          <w:sz w:val="20"/>
          <w:szCs w:val="20"/>
        </w:rPr>
        <w:t xml:space="preserve">Czy jedna ze wskazanych przez Pana zasad morskiego planowania przestrzennego rekonstruowana z przepisów </w:t>
      </w:r>
      <w:proofErr w:type="spellStart"/>
      <w:r w:rsidRPr="00E41741">
        <w:rPr>
          <w:rFonts w:ascii="Arial" w:hAnsi="Arial" w:cs="Arial"/>
          <w:sz w:val="20"/>
          <w:szCs w:val="20"/>
        </w:rPr>
        <w:t>uom</w:t>
      </w:r>
      <w:proofErr w:type="spellEnd"/>
      <w:r w:rsidRPr="00E41741">
        <w:rPr>
          <w:rFonts w:ascii="Arial" w:hAnsi="Arial" w:cs="Arial"/>
          <w:sz w:val="20"/>
          <w:szCs w:val="20"/>
        </w:rPr>
        <w:t xml:space="preserve"> tj. trwałość ustaleń lokalizacyjnych podjętych przed przyjęciem planu dotyczy jedynie wskazanych w ustawie o obszarach morskich RP pozwoleń na wnoszenie i wykorzystywanie sztucznych wysp, konstrukcji i urządzeń oraz pozwoleń na układanie i utrzymywanie kabli i rurociągów czy również wszelkich innych wydanych decyzji przez różne organy (nie tylko administrację morską)? np. wydane koncesje na poszukiwanie, rozpoznawanie i wydobycie węglowodorów przez ministra wł. ds. środowiska na podstawie ustawy prawo geologiczne i górnicze? (prośba o podanie podstawy prawnej)</w:t>
      </w:r>
    </w:p>
    <w:p w14:paraId="7215F8F2" w14:textId="36D719C4" w:rsidR="002E4FD2" w:rsidRPr="00E41741" w:rsidRDefault="002E4FD2" w:rsidP="002E4FD2">
      <w:pPr>
        <w:pStyle w:val="NormalnyWeb"/>
        <w:spacing w:after="195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E41741">
        <w:rPr>
          <w:rFonts w:ascii="Arial" w:hAnsi="Arial" w:cs="Arial"/>
          <w:sz w:val="20"/>
          <w:szCs w:val="20"/>
        </w:rPr>
        <w:t>Przepis art. 37a stanowi wyraźnie „</w:t>
      </w:r>
      <w:r w:rsidRPr="00E41741">
        <w:rPr>
          <w:rFonts w:ascii="Arial" w:hAnsi="Arial" w:cs="Arial"/>
          <w:sz w:val="20"/>
          <w:szCs w:val="20"/>
          <w:shd w:val="clear" w:color="auto" w:fill="FFFFFF"/>
        </w:rPr>
        <w:t xml:space="preserve">Rada Ministrów przyjmuje, w drodze rozporządzenia, plany zagospodarowania przestrzennego morskich wód wewnętrznych, morza terytorialnego i wyłącznej strefy ekonomicznej, uwzględniając rozstrzygnięcia określone w ust. 2 oraz </w:t>
      </w:r>
      <w:r w:rsidRPr="00E41741">
        <w:rPr>
          <w:rFonts w:ascii="Arial" w:hAnsi="Arial" w:cs="Arial"/>
          <w:b/>
          <w:sz w:val="20"/>
          <w:szCs w:val="20"/>
          <w:shd w:val="clear" w:color="auto" w:fill="FFFFFF"/>
        </w:rPr>
        <w:t>wydane ważne pozwolenia, o których mowa w art. 23 ust. 1, art. 26 ust. 1</w:t>
      </w:r>
      <w:r w:rsidRPr="00E41741">
        <w:rPr>
          <w:rFonts w:ascii="Arial" w:hAnsi="Arial" w:cs="Arial"/>
          <w:sz w:val="20"/>
          <w:szCs w:val="20"/>
          <w:shd w:val="clear" w:color="auto" w:fill="FFFFFF"/>
        </w:rPr>
        <w:t>, i uzgodnienie, o którym mowa w art. 27 ust. 1.</w:t>
      </w:r>
      <w:r w:rsidRPr="00E41741">
        <w:rPr>
          <w:rFonts w:ascii="Arial" w:hAnsi="Arial" w:cs="Arial"/>
          <w:sz w:val="20"/>
          <w:szCs w:val="20"/>
          <w:shd w:val="clear" w:color="auto" w:fill="FFFFFF"/>
        </w:rPr>
        <w:t>”</w:t>
      </w:r>
    </w:p>
    <w:p w14:paraId="75043F21" w14:textId="4559F711" w:rsidR="002E4FD2" w:rsidRPr="00E41741" w:rsidRDefault="002E4FD2" w:rsidP="002E4FD2">
      <w:pPr>
        <w:pStyle w:val="NormalnyWeb"/>
        <w:spacing w:after="195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E41741">
        <w:rPr>
          <w:rFonts w:ascii="Arial" w:hAnsi="Arial" w:cs="Arial"/>
          <w:sz w:val="20"/>
          <w:szCs w:val="20"/>
          <w:shd w:val="clear" w:color="auto" w:fill="FFFFFF"/>
        </w:rPr>
        <w:t>A zatem chodzi tu o pozwolenia na: „w</w:t>
      </w:r>
      <w:r w:rsidRPr="00E41741">
        <w:rPr>
          <w:rFonts w:ascii="Arial" w:hAnsi="Arial" w:cs="Arial"/>
          <w:sz w:val="20"/>
          <w:szCs w:val="20"/>
          <w:shd w:val="clear" w:color="auto" w:fill="FFFFFF"/>
        </w:rPr>
        <w:t>znoszenie lub wykorzystywanie sztucznych wysp, konstrukcji i urządzeń w polskich obszarach morskich</w:t>
      </w:r>
      <w:r w:rsidRPr="00E41741">
        <w:rPr>
          <w:rFonts w:ascii="Arial" w:hAnsi="Arial" w:cs="Arial"/>
          <w:sz w:val="20"/>
          <w:szCs w:val="20"/>
          <w:shd w:val="clear" w:color="auto" w:fill="FFFFFF"/>
        </w:rPr>
        <w:t>” oraz „u</w:t>
      </w:r>
      <w:r w:rsidRPr="00E41741">
        <w:rPr>
          <w:rFonts w:ascii="Arial" w:hAnsi="Arial" w:cs="Arial"/>
          <w:sz w:val="20"/>
          <w:szCs w:val="20"/>
          <w:shd w:val="clear" w:color="auto" w:fill="FFFFFF"/>
        </w:rPr>
        <w:t>kładanie i utrzymywanie kabli lub rurociągów</w:t>
      </w:r>
      <w:r w:rsidRPr="00E41741">
        <w:rPr>
          <w:rFonts w:ascii="Arial" w:hAnsi="Arial" w:cs="Arial"/>
          <w:sz w:val="20"/>
          <w:szCs w:val="20"/>
          <w:shd w:val="clear" w:color="auto" w:fill="FFFFFF"/>
        </w:rPr>
        <w:t>”</w:t>
      </w:r>
    </w:p>
    <w:p w14:paraId="276813AE" w14:textId="2CC4E27F" w:rsidR="002E4FD2" w:rsidRPr="00E41741" w:rsidRDefault="002E4FD2" w:rsidP="002E4FD2">
      <w:pPr>
        <w:pStyle w:val="NormalnyWeb"/>
        <w:spacing w:after="195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E41741">
        <w:rPr>
          <w:rFonts w:ascii="Arial" w:hAnsi="Arial" w:cs="Arial"/>
          <w:sz w:val="20"/>
          <w:szCs w:val="20"/>
          <w:shd w:val="clear" w:color="auto" w:fill="FFFFFF"/>
        </w:rPr>
        <w:t>Pozostałe przypadki zostały pominięte i z tym może być problem…</w:t>
      </w:r>
    </w:p>
    <w:p w14:paraId="5EC7BF25" w14:textId="77777777" w:rsidR="002E4FD2" w:rsidRPr="00E41741" w:rsidRDefault="002E4FD2" w:rsidP="002E4FD2">
      <w:pPr>
        <w:pStyle w:val="NormalnyWeb"/>
        <w:spacing w:after="195" w:afterAutospacing="0"/>
        <w:rPr>
          <w:rFonts w:ascii="Arial" w:hAnsi="Arial" w:cs="Arial"/>
          <w:sz w:val="20"/>
          <w:szCs w:val="20"/>
        </w:rPr>
      </w:pPr>
    </w:p>
    <w:p w14:paraId="7D59EBAC" w14:textId="112325FA" w:rsidR="006A09E2" w:rsidRPr="00E41741" w:rsidRDefault="006A09E2" w:rsidP="006A09E2">
      <w:pPr>
        <w:pStyle w:val="NormalnyWeb"/>
        <w:numPr>
          <w:ilvl w:val="0"/>
          <w:numId w:val="1"/>
        </w:numPr>
        <w:spacing w:after="195" w:afterAutospacing="0"/>
        <w:rPr>
          <w:rFonts w:ascii="Arial" w:hAnsi="Arial" w:cs="Arial"/>
          <w:sz w:val="20"/>
          <w:szCs w:val="20"/>
        </w:rPr>
      </w:pPr>
      <w:r w:rsidRPr="00E41741">
        <w:rPr>
          <w:rFonts w:ascii="Arial" w:hAnsi="Arial" w:cs="Arial"/>
          <w:sz w:val="20"/>
          <w:szCs w:val="20"/>
        </w:rPr>
        <w:t>Jakie inne organy niż minister właściwy ds. gospodarki morskiej i dyrektorzy urzędów morskich (wydający decyzje dla sztucznych wysp, konstrukcji i urządzeń i kabli i rurociągów) są zobowiązane do uwzględniania ustaleń wynikających z obowiązującego planu zagospodarowania przestrzennego obszarów morskich w wydawanych przez siebie decyzjach lub pozwoleniach i przy jakich procedurach?</w:t>
      </w:r>
    </w:p>
    <w:p w14:paraId="4CB5BD00" w14:textId="6331C618" w:rsidR="00652349" w:rsidRPr="00E41741" w:rsidRDefault="00652349" w:rsidP="00652349">
      <w:pPr>
        <w:pStyle w:val="NormalnyWeb"/>
        <w:spacing w:after="195" w:afterAutospacing="0"/>
        <w:rPr>
          <w:rFonts w:ascii="Arial" w:hAnsi="Arial" w:cs="Arial"/>
          <w:sz w:val="20"/>
          <w:szCs w:val="20"/>
        </w:rPr>
      </w:pPr>
      <w:r w:rsidRPr="00E41741">
        <w:rPr>
          <w:rFonts w:ascii="Arial" w:hAnsi="Arial" w:cs="Arial"/>
          <w:sz w:val="20"/>
          <w:szCs w:val="20"/>
        </w:rPr>
        <w:t>Od momentu wejścia w życie planu, z uwagi na jego normatywny charakter</w:t>
      </w:r>
      <w:r w:rsidR="002E4FD2" w:rsidRPr="00E41741">
        <w:rPr>
          <w:rFonts w:ascii="Arial" w:hAnsi="Arial" w:cs="Arial"/>
          <w:sz w:val="20"/>
          <w:szCs w:val="20"/>
        </w:rPr>
        <w:t>, wszystkie rozstrzygnięcia indywidualne (decyzje) „związane” z obszarami morskimi będą musiały uwzględniać uwarunkowania wynikające z ustaleń planu, a zatem i organy „zamieszane” w ten proces decyzyjny</w:t>
      </w:r>
      <w:r w:rsidR="00E41741" w:rsidRPr="00E41741">
        <w:rPr>
          <w:rFonts w:ascii="Arial" w:hAnsi="Arial" w:cs="Arial"/>
          <w:sz w:val="20"/>
          <w:szCs w:val="20"/>
        </w:rPr>
        <w:t xml:space="preserve"> również</w:t>
      </w:r>
      <w:r w:rsidR="002E4FD2" w:rsidRPr="00E41741">
        <w:rPr>
          <w:rFonts w:ascii="Arial" w:hAnsi="Arial" w:cs="Arial"/>
          <w:sz w:val="20"/>
          <w:szCs w:val="20"/>
        </w:rPr>
        <w:t>.</w:t>
      </w:r>
    </w:p>
    <w:p w14:paraId="4A43FF0E" w14:textId="77777777" w:rsidR="009961A3" w:rsidRPr="00E41741" w:rsidRDefault="009961A3">
      <w:pPr>
        <w:rPr>
          <w:rFonts w:ascii="Arial" w:hAnsi="Arial" w:cs="Arial"/>
          <w:sz w:val="20"/>
          <w:szCs w:val="20"/>
        </w:rPr>
      </w:pPr>
    </w:p>
    <w:sectPr w:rsidR="009961A3" w:rsidRPr="00E41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83189"/>
    <w:multiLevelType w:val="hybridMultilevel"/>
    <w:tmpl w:val="F2F09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3C"/>
    <w:rsid w:val="00071464"/>
    <w:rsid w:val="000F0E3C"/>
    <w:rsid w:val="00141D24"/>
    <w:rsid w:val="002E4FD2"/>
    <w:rsid w:val="003A5A0B"/>
    <w:rsid w:val="00442C8D"/>
    <w:rsid w:val="004C0237"/>
    <w:rsid w:val="00652349"/>
    <w:rsid w:val="006A09E2"/>
    <w:rsid w:val="007405C3"/>
    <w:rsid w:val="008B1F97"/>
    <w:rsid w:val="008C2E13"/>
    <w:rsid w:val="009961A3"/>
    <w:rsid w:val="00A24009"/>
    <w:rsid w:val="00A970CD"/>
    <w:rsid w:val="00CF31CE"/>
    <w:rsid w:val="00DA461F"/>
    <w:rsid w:val="00E41741"/>
    <w:rsid w:val="00EC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ECF0"/>
  <w15:chartTrackingRefBased/>
  <w15:docId w15:val="{6B11E81F-0CAF-4E23-9DC7-575F0636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5A0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71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6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9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Mrozek</dc:creator>
  <cp:keywords/>
  <dc:description/>
  <cp:lastModifiedBy>Tomasz Bąkowski</cp:lastModifiedBy>
  <cp:revision>2</cp:revision>
  <dcterms:created xsi:type="dcterms:W3CDTF">2020-09-30T18:50:00Z</dcterms:created>
  <dcterms:modified xsi:type="dcterms:W3CDTF">2020-09-30T18:50:00Z</dcterms:modified>
</cp:coreProperties>
</file>